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005"/>
        <w:tblW w:w="957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6"/>
      </w:tblGrid>
      <w:tr w:rsidR="00B933AE" w:rsidTr="00B933AE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3AE" w:rsidRDefault="00B933AE">
            <w:pPr>
              <w:spacing w:after="0"/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B933AE" w:rsidRDefault="00B933AE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3AE" w:rsidRDefault="00B933AE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933AE" w:rsidRDefault="00B933AE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933AE" w:rsidRDefault="00B933AE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3AE" w:rsidRDefault="00B933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3AE" w:rsidRDefault="00B933A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33AE" w:rsidRDefault="00B933A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B933AE" w:rsidRDefault="00B933A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B933AE" w:rsidRDefault="00B933A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3AE" w:rsidRDefault="000B14F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B933AE">
                <w:rPr>
                  <w:rStyle w:val="a3"/>
                  <w:rFonts w:ascii="Arial" w:hAnsi="Arial" w:cs="Arial"/>
                  <w:sz w:val="20"/>
                  <w:szCs w:val="20"/>
                </w:rPr>
                <w:t>www.alltour.by</w:t>
              </w:r>
            </w:hyperlink>
            <w:r w:rsidR="00B933AE"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B933AE" w:rsidRDefault="00B933A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B933AE" w:rsidRPr="0070477E" w:rsidRDefault="0070477E" w:rsidP="00551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0"/>
          <w:lang w:eastAsia="ru-RU"/>
        </w:rPr>
        <w:t xml:space="preserve">Красивая и самобытная </w:t>
      </w:r>
      <w:r w:rsidR="00B933AE" w:rsidRPr="00B933A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0"/>
          <w:lang w:eastAsia="ru-RU"/>
        </w:rPr>
        <w:t xml:space="preserve">Ирландия </w:t>
      </w:r>
    </w:p>
    <w:p w:rsidR="008D2E44" w:rsidRDefault="008D2E44" w:rsidP="005518AA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5518AA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Дублин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- </w:t>
      </w:r>
      <w:r w:rsidR="005518AA"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утесы </w:t>
      </w:r>
      <w:proofErr w:type="spellStart"/>
      <w:r w:rsidR="005518AA"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Моэр</w:t>
      </w:r>
      <w:proofErr w:type="spellEnd"/>
      <w:r w:rsidR="005518AA"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5518A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- </w:t>
      </w:r>
      <w:r w:rsidR="005518A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полуостров </w:t>
      </w:r>
      <w:proofErr w:type="spellStart"/>
      <w:r w:rsidR="005518A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Ивер</w:t>
      </w:r>
      <w:proofErr w:type="spellEnd"/>
      <w:r w:rsidR="005518A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– </w:t>
      </w:r>
      <w:r w:rsidR="005518AA"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Дублин</w:t>
      </w:r>
    </w:p>
    <w:p w:rsidR="00B933AE" w:rsidRP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Вылеты: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05.10.18 - 12.10.18</w:t>
      </w:r>
    </w:p>
    <w:p w:rsidR="00B933AE" w:rsidRP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Сроки тура: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8 дней/ 7 ночей</w:t>
      </w:r>
    </w:p>
    <w:p w:rsidR="00B933AE" w:rsidRP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Программа тура:</w:t>
      </w:r>
    </w:p>
    <w:p w:rsidR="00B933AE" w:rsidRP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1 день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Вылет из Минска в 09:30. Стыковка. Прилет в Дублин в 16:40. Трансфер и размещение в отеле. </w:t>
      </w:r>
    </w:p>
    <w:p w:rsidR="00B933AE" w:rsidRPr="00B933AE" w:rsidRDefault="00B933AE" w:rsidP="00B933A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2 день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Поездка к Атлантическому океану на утесы </w:t>
      </w:r>
      <w:proofErr w:type="spellStart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Моэр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Cliffs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of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Moher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). Знаменитые ирландские скалы образовались еще за 6 тысяч лет до н.э. Они помнят первых поселенцев, которые появились в этих местах много лет назад — скифов, англичан, шотландцев, датчан. Отсюда прекрасный вид на Атлантический океан с высоты 200 м. На вершине утесов гордо возвышается одинокая каменная башня </w:t>
      </w:r>
      <w:proofErr w:type="gram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</w:t>
      </w:r>
      <w:proofErr w:type="gram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‘Брайана. Она была возведена в 1835 году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Корнелиусом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О ‘Брайаном, потомком короля Ирландии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Бриана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Бору, чтобы удивить гостивших у него дам открывающейся со смотровой башни панорамой. Возле скал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Моэр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снимались некоторые сцены для фильма "Гарри Поттер и принц-полукровка". </w:t>
      </w:r>
    </w:p>
    <w:p w:rsidR="00B933AE" w:rsidRP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Далее по маршруту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посещение замка </w:t>
      </w:r>
      <w:proofErr w:type="spellStart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Банратти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и тематического парка 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Bunratty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Castle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and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Folk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Park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). Замок с драматической и кровавой историей, с интерьерами 15-16-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го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веков - один из немногих полностью сохранившихся строений того времени. Рядом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Folk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Park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– старинная ирландская деревня 19 века с постройками, привезенными со всей территории Ирландии. Здесь есть дом доктора, школа, ломбард, бар, дом бакалейщика, почта и др. Посещение замка и деревни дает возможность окунуться в атмосферу двух интереснейших периодов в истории страны. Ночь в графстве Лимерик. Ужин в отеле.</w:t>
      </w:r>
    </w:p>
    <w:p w:rsid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3 день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Путешествие самым известным панорамным маршрутом Ирландии вокруг полуострова </w:t>
      </w:r>
      <w:proofErr w:type="spellStart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Ивера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Iveragh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), более известного, как Кольцо Керри 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Ring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of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Kerry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) Это, несомненно, одно из наиболее волшебных мест во всей Ирландии. Прекрасные горы и приморские пейзажи будут постоянными компаньонами на протяжении почти всего маршрута. Помимо этого, здесь расположены интересные достопримечательности: город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Каэрсивин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Cahersiveen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) со старинной католической церковью, названной в честь ирландского национального героя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Дэниела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О’Коннелла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; каменный форт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Staigue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построенный в 3-4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вв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до нашей эры; городок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Уотервиль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Waterville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), который любил посещать Чарли Чаплин, здесь можно прогуляться по пляжу. Маршрут по Кольцу Керри заканчивается в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Национальном парке </w:t>
      </w:r>
      <w:proofErr w:type="spellStart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Килларни</w:t>
      </w:r>
      <w:proofErr w:type="spellEnd"/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Killarney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National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Park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), где можно насладиться живописными видами трех озер, водопадом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Торк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посетить поместье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Макросс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покататься на лошадях, приобрести сувениры. Ночь в графстве Керри. Ужин в отеле.</w:t>
      </w:r>
    </w:p>
    <w:p w:rsidR="005518AA" w:rsidRDefault="00B933AE" w:rsidP="005518AA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4 день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Посещение замка </w:t>
      </w:r>
      <w:proofErr w:type="spellStart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Бларни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Средневековый замок 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Бларни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нельзя пропустить – это неотъемлемый символ Ирландии и ирландского наследия. Главным артефактом замка является легендарный камень из аббатства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Скоун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на котором в давние времена проводилась коронация королей Шотландии. По зародившейся легенде, если поцеловать камень, можно овладеть даром красноречия. Далее вас ждёт замок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Кэшел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Rock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of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Cashel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). Над миниатюрным городком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Кэшел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 центральной Ирландии возвышается скала. На ее крутых склонах сохранились руины некогда величественной античной столицы, которой правили короли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Мюнстер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Существует старинное предание, которое гласит, что сотни лет назад именно здесь святой Патрик привел к христианской вере короля Корка III. Возвращение в Дублин. Размещение в отеле.</w:t>
      </w:r>
    </w:p>
    <w:p w:rsidR="00B933AE" w:rsidRDefault="00B933AE" w:rsidP="005518AA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lastRenderedPageBreak/>
        <w:t>5 день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Обзорная автобусная экскурсия по Дублину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Во время экскурсии гид познакомит с главными достопримечательностями столицы Ирландии: Собором Святого Патрика, Тринити Колледжем, Дублинским замком, улицей Темпл Бар и торговой улицей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Графтон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набережной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Лиффи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Феникс парком, домом Оскара Уайльда и др.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Экскурсия на завод Гиннес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где можно узнать об истории создания и производстве знаменитого на весь мир пива, здесь же можно посетить бар, из окон которого открывается великолепная панорама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Дублина.</w:t>
      </w:r>
    </w:p>
    <w:p w:rsid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6 день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Свободный день. В этот день можно самостоятельно посетить музей викингов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Дублиния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Dublinia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 или полюбоваться картинами Национальной галереи в Дублине. Мы настоятельно рекомендуем также отобедать в самом старом пабе города 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Brazen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Head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Pub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7 день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Свободный день. Предлагаем </w:t>
      </w: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отправиться на шоппинг в деревню </w:t>
      </w:r>
      <w:proofErr w:type="spellStart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Kildare</w:t>
      </w:r>
      <w:proofErr w:type="spellEnd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Village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- это один из девяти торговых городков сети «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Chic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Outlet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Shopping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®». Подобные деревни расположены в Лондоне, Париже, Милане и других крупных городах Европы. В течение всего года самые престижные торговые марки предлагают здесь свои коллекции предыдущего сезона. Вы можете приобрести по сниженным ценам модную одежду и товары для дома. Покупки в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Kildare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Village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станут хорошим дополнением к путешествию по графству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Килдэйр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где находятся ирландские национальные конюшни, японские сады, собор святой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Бригиды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круглую башню в городке </w:t>
      </w:r>
      <w:proofErr w:type="spellStart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Килдэйр</w:t>
      </w:r>
      <w:proofErr w:type="spellEnd"/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8 день</w:t>
      </w:r>
      <w:r w:rsidR="00121D0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Т</w:t>
      </w: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рансфер в аэропорт в 05:55. Стыковка и вылет в Минск. Прилет в Минск в 15:30.</w:t>
      </w:r>
    </w:p>
    <w:p w:rsidR="00B933AE" w:rsidRPr="00B933AE" w:rsidRDefault="00B933AE" w:rsidP="00B933AE">
      <w:pPr>
        <w:spacing w:line="270" w:lineRule="atLeast"/>
        <w:jc w:val="both"/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Стоимость тура на двоих за 7 ночей — </w:t>
      </w:r>
      <w:r w:rsidRPr="00B933AE">
        <w:rPr>
          <w:rFonts w:ascii="Times New Roman" w:eastAsia="Times New Roman" w:hAnsi="Times New Roman" w:cs="Times New Roman"/>
          <w:b/>
          <w:bCs/>
          <w:i/>
          <w:color w:val="3E3E3E"/>
          <w:sz w:val="24"/>
          <w:szCs w:val="24"/>
          <w:lang w:eastAsia="ru-RU"/>
        </w:rPr>
        <w:t>6066 BYN</w:t>
      </w:r>
    </w:p>
    <w:p w:rsidR="00B933AE" w:rsidRPr="00B933AE" w:rsidRDefault="00B933AE" w:rsidP="00B933A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  <w:t>Начало формы</w:t>
      </w:r>
    </w:p>
    <w:p w:rsidR="00B933AE" w:rsidRPr="00B933AE" w:rsidRDefault="00B933AE" w:rsidP="00B933AE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Включено:</w:t>
      </w:r>
    </w:p>
    <w:p w:rsidR="00B933AE" w:rsidRPr="00B933AE" w:rsidRDefault="00B933AE" w:rsidP="00B933AE">
      <w:pPr>
        <w:numPr>
          <w:ilvl w:val="0"/>
          <w:numId w:val="1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перелет из Минска в Дублин со стыковкой (минимальный тариф);</w:t>
      </w:r>
    </w:p>
    <w:p w:rsidR="00B933AE" w:rsidRPr="00B933AE" w:rsidRDefault="00B933AE" w:rsidP="00B933A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индивидуальный трансфер аэропорт - отель - аэропорт;</w:t>
      </w:r>
    </w:p>
    <w:p w:rsidR="00B933AE" w:rsidRPr="00B933AE" w:rsidRDefault="00B933AE" w:rsidP="00B933A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7 ночей размещение в уютных отелях с горячими ирландскими завтраками,</w:t>
      </w:r>
    </w:p>
    <w:p w:rsidR="00B933AE" w:rsidRPr="00B933AE" w:rsidRDefault="00B933AE" w:rsidP="00B933A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2 ужина в отелях в графстве Лимерик и Керри,</w:t>
      </w:r>
    </w:p>
    <w:p w:rsidR="00B933AE" w:rsidRPr="00B933AE" w:rsidRDefault="00B933AE" w:rsidP="00B933A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экскурсии по маршруту с русскоговорящим гидом,</w:t>
      </w:r>
    </w:p>
    <w:p w:rsidR="00B933AE" w:rsidRPr="00B933AE" w:rsidRDefault="00B933AE" w:rsidP="00B933A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транспортное обслуживание на комфортабельном автобусе с кондиционером.</w:t>
      </w:r>
    </w:p>
    <w:p w:rsidR="00B933AE" w:rsidRPr="00B933AE" w:rsidRDefault="00B933AE" w:rsidP="00B933AE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Дополнительно:</w:t>
      </w:r>
    </w:p>
    <w:p w:rsidR="000B14F3" w:rsidRPr="000B14F3" w:rsidRDefault="000B14F3" w:rsidP="000B14F3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14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Консультационно-информационная услуга – 45 руб.;</w:t>
      </w:r>
    </w:p>
    <w:p w:rsidR="000B14F3" w:rsidRDefault="000B14F3" w:rsidP="000B14F3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14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Консульский сбор;</w:t>
      </w:r>
      <w:bookmarkStart w:id="0" w:name="_GoBack"/>
      <w:bookmarkEnd w:id="0"/>
    </w:p>
    <w:p w:rsidR="00B933AE" w:rsidRPr="00B933AE" w:rsidRDefault="00B933AE" w:rsidP="00B933AE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виза в Ирландию;</w:t>
      </w:r>
    </w:p>
    <w:p w:rsidR="00B933AE" w:rsidRPr="00B933AE" w:rsidRDefault="00B933AE" w:rsidP="00B933A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медицинская страховка;</w:t>
      </w:r>
    </w:p>
    <w:p w:rsidR="00B933AE" w:rsidRPr="00B933AE" w:rsidRDefault="00B933AE" w:rsidP="00B933A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дополнительные экскурсии;</w:t>
      </w:r>
    </w:p>
    <w:p w:rsidR="00B933AE" w:rsidRPr="00B933AE" w:rsidRDefault="00B933AE" w:rsidP="00B933AE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933A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личные расходы.</w:t>
      </w:r>
    </w:p>
    <w:p w:rsidR="00C852F9" w:rsidRPr="00B933AE" w:rsidRDefault="00C852F9">
      <w:pPr>
        <w:rPr>
          <w:rFonts w:ascii="Times New Roman" w:hAnsi="Times New Roman" w:cs="Times New Roman"/>
          <w:sz w:val="24"/>
          <w:szCs w:val="24"/>
        </w:rPr>
      </w:pPr>
    </w:p>
    <w:sectPr w:rsidR="00C852F9" w:rsidRPr="00B9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7489"/>
    <w:multiLevelType w:val="multilevel"/>
    <w:tmpl w:val="DAA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E7761"/>
    <w:multiLevelType w:val="multilevel"/>
    <w:tmpl w:val="3E8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AE"/>
    <w:rsid w:val="000B14F3"/>
    <w:rsid w:val="00121D0E"/>
    <w:rsid w:val="005518AA"/>
    <w:rsid w:val="0070477E"/>
    <w:rsid w:val="008D2E44"/>
    <w:rsid w:val="00B933AE"/>
    <w:rsid w:val="00C8122B"/>
    <w:rsid w:val="00C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0FF4"/>
  <w15:chartTrackingRefBased/>
  <w15:docId w15:val="{F7BA7118-34B9-486A-9DF8-499D9021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A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93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3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3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p">
    <w:name w:val="tip"/>
    <w:basedOn w:val="a0"/>
    <w:rsid w:val="00B933AE"/>
  </w:style>
  <w:style w:type="character" w:styleId="a4">
    <w:name w:val="Strong"/>
    <w:basedOn w:val="a0"/>
    <w:uiPriority w:val="22"/>
    <w:qFormat/>
    <w:rsid w:val="00B933A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33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33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33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933A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 Darya</dc:creator>
  <cp:keywords/>
  <dc:description/>
  <cp:lastModifiedBy>Akimova Darya</cp:lastModifiedBy>
  <cp:revision>3</cp:revision>
  <dcterms:created xsi:type="dcterms:W3CDTF">2019-02-12T13:14:00Z</dcterms:created>
  <dcterms:modified xsi:type="dcterms:W3CDTF">2019-02-15T10:12:00Z</dcterms:modified>
</cp:coreProperties>
</file>